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26-87</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481—469.2(10A)</w:t>
      </w:r>
    </w:p>
    <w:p>
      <w:pPr>
        <w:spacing w:before="0" w:after="0" w:line="480"/>
        <w:ind w:left="120"/>
        <w:jc w:val="center"/>
      </w:pPr>
      <w:r>
        <w:rPr>
          <w:rFonts w:ascii="Times New Roman" w:hAnsi="Times New Roman"/>
          <w:b w:val="false"/>
          <w:i w:val="false"/>
          <w:color w:val="000000"/>
          <w:sz w:val="24"/>
        </w:rPr>
        <w:t>“Renovation, Remodeling, and Repainting—Lead Hazard Notification Process”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w:t>
      </w:r>
    </w:p>
    <w:p>
      <w:pPr>
        <w:spacing w:before="0" w:after="0" w:line="480"/>
        <w:ind w:left="120"/>
        <w:jc w:val="both"/>
      </w:pPr>
      <w:r>
        <w:rPr>
          <w:rFonts w:ascii="Times New Roman" w:hAnsi="Times New Roman"/>
          <w:b w:val="false"/>
          <w:i w:val="false"/>
          <w:color w:val="000000"/>
          <w:sz w:val="24"/>
        </w:rPr>
        <w:t>State or federal law(s) implemented by the rulemaking: Iowa Code chapter 10A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11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Ledges Conference Room</w:t>
            </w:r>
            <w:r>
              <w:br/>
            </w:r>
            <w:r>
              <w:rPr>
                <w:rFonts w:ascii="Times New Roman" w:hAnsi="Times New Roman"/>
                <w:b w:val="false"/>
                <w:i w:val="false"/>
                <w:color w:val="000000"/>
                <w:sz w:val="21"/>
              </w:rPr>
              <w:t>6200 Park Avenue</w:t>
            </w:r>
            <w:r>
              <w:br/>
            </w:r>
            <w:r>
              <w:rPr>
                <w:rFonts w:ascii="Times New Roman" w:hAnsi="Times New Roman"/>
                <w:b w:val="false"/>
                <w:i w:val="false"/>
                <w:color w:val="000000"/>
                <w:sz w:val="21"/>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Inspections, Appeals, and Licensing (DIAL)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535"/>
      </w:tblGrid>
      <w:tr>
        <w:trPr>
          <w:trHeight w:val="2430" w:hRule="atLeast"/>
        </w:trPr>
        <w:tc>
          <w:tcPr>
            <w:tcW w:w="45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Sheri Howard </w:t>
            </w:r>
            <w:r>
              <w:br/>
            </w:r>
            <w:r>
              <w:rPr>
                <w:rFonts w:ascii="Times New Roman" w:hAnsi="Times New Roman"/>
                <w:b w:val="false"/>
                <w:i w:val="false"/>
                <w:color w:val="000000"/>
                <w:sz w:val="21"/>
              </w:rPr>
              <w:t xml:space="preserve">6200 Park Avenue </w:t>
            </w:r>
            <w:r>
              <w:br/>
            </w:r>
            <w:r>
              <w:rPr>
                <w:rFonts w:ascii="Times New Roman" w:hAnsi="Times New Roman"/>
                <w:b w:val="false"/>
                <w:i w:val="false"/>
                <w:color w:val="000000"/>
                <w:sz w:val="21"/>
              </w:rPr>
              <w:t xml:space="preserve">Des Moines, Iowa 50321 </w:t>
            </w:r>
            <w:r>
              <w:br/>
            </w:r>
            <w:r>
              <w:rPr>
                <w:rFonts w:ascii="Times New Roman" w:hAnsi="Times New Roman"/>
                <w:b w:val="false"/>
                <w:i w:val="false"/>
                <w:color w:val="000000"/>
                <w:sz w:val="21"/>
              </w:rPr>
              <w:t>Phone: 515.779.3299</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sheri.howard@dia.iowa.gov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rulemaking amends the rules promulgated by DIAL to implement the United States Environmental Protection Agency’s (EPA’s) rule regarding the definition of dust-lead hazard.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 regulated industry will bear the costs of the proposed rulemaking by incurring the costs of implementation.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will benefit from the rulemaking through safety in the performance of lead-based activities. The owners and occupants of structures in which lead-based activities are performed benefit particularly through the safe performance of these activities. Children will be protected from the hazards of lead-based paint.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general public will benefit from the rulemaking through safety in the performance of lead-based activities.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Lead-based paint exposure results in an increased need for health care and special education. It can lead to an increase in the crime rate. Exposure can result in a decrease of the lifetime earnings of those exposed. The economic impact is estimated to be in the billions of dollars. Lowering the amount of lead that can remain in dust can alleviate the costs associated with lead-based paint exposure.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Failure to implement the changes could result in the State losing EPA accreditation to administer the program at the state level.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impact on State revenues from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to the industry are described above. The potential benefits of inaction are enormous. Lead-based paint exposure can lead to an estimated billions of dollars in negative economic impact. More importantly, people, particularly children, who are exposed to lead-based paint can suffer health, educational and earnings impacts that last a lifetime.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There are no less costly or intrusive methods for achieving the purpose of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There are no less costly or intrusive methods for achieving the purpose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There are no less costly or intrusive methods for achieving the purpose of the proposed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Many lead-based paint professionals may be small business owners. While the overall economic impact of the rulemaking may be higher for a small business owner, the significant public safety benefits of the rulemaking outweigh that impact. To exempt a small business from adhering to the rules would jeopardize the public who sought services from that small business. The risk to the public is greater than the potential cost to the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481—469.2(10A)</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“Dust-lead hazard,”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“Dust-lead hazard”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surface dust in residential dwellings or child-occupied facilities that contains a mass-per-area concentration of lead equal to or exceeding </w:t>
      </w:r>
      <w:r>
        <w:rPr>
          <w:rFonts w:ascii="Times New Roman" w:hAnsi="Times New Roman"/>
          <w:b w:val="false"/>
          <w:i w:val="false"/>
          <w:strike/>
          <w:color w:val="000000"/>
          <w:sz w:val="24"/>
        </w:rPr>
        <w:t>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xml:space="preserve"> micrograms per square foot on floors, </w:t>
      </w:r>
      <w:r>
        <w:rPr>
          <w:rFonts w:ascii="Times New Roman" w:hAnsi="Times New Roman"/>
          <w:b w:val="false"/>
          <w:i w:val="false"/>
          <w:strike/>
          <w:color w:val="000000"/>
          <w:sz w:val="24"/>
        </w:rPr>
        <w:t>100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40</w:t>
      </w:r>
      <w:r>
        <w:rPr>
          <w:rFonts w:ascii="Times New Roman" w:hAnsi="Times New Roman"/>
          <w:b w:val="false"/>
          <w:i w:val="false"/>
          <w:color w:val="000000"/>
          <w:sz w:val="24"/>
        </w:rPr>
        <w:t xml:space="preserve"> micrograms per square foot on interior windowsills, and </w:t>
      </w:r>
      <w:r>
        <w:rPr>
          <w:rFonts w:ascii="Times New Roman" w:hAnsi="Times New Roman"/>
          <w:b w:val="false"/>
          <w:i w:val="false"/>
          <w:strike/>
          <w:color w:val="000000"/>
          <w:sz w:val="24"/>
        </w:rPr>
        <w:t>400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100</w:t>
      </w:r>
      <w:r>
        <w:rPr>
          <w:rFonts w:ascii="Times New Roman" w:hAnsi="Times New Roman"/>
          <w:b w:val="false"/>
          <w:i w:val="false"/>
          <w:color w:val="000000"/>
          <w:sz w:val="24"/>
        </w:rPr>
        <w:t xml:space="preserve"> micrograms per square foot on window troughs based on wipe samples. A dust-lead hazard is present in a residential dwelling or child-occupied facility when the weighted arithmetic mean lead loading for all single-surface or composite samples of floors and interior windowsills is equal to or greater than </w:t>
      </w:r>
      <w:r>
        <w:rPr>
          <w:rFonts w:ascii="Times New Roman" w:hAnsi="Times New Roman"/>
          <w:b w:val="false"/>
          <w:i w:val="false"/>
          <w:strike/>
          <w:color w:val="000000"/>
          <w:sz w:val="24"/>
        </w:rPr>
        <w:t>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xml:space="preserve"> micrograms per square foot on floors, </w:t>
      </w:r>
      <w:r>
        <w:rPr>
          <w:rFonts w:ascii="Times New Roman" w:hAnsi="Times New Roman"/>
          <w:b w:val="false"/>
          <w:i w:val="false"/>
          <w:strike/>
          <w:color w:val="000000"/>
          <w:sz w:val="24"/>
        </w:rPr>
        <w:t>100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40</w:t>
      </w:r>
      <w:r>
        <w:rPr>
          <w:rFonts w:ascii="Times New Roman" w:hAnsi="Times New Roman"/>
          <w:b w:val="false"/>
          <w:i w:val="false"/>
          <w:color w:val="000000"/>
          <w:sz w:val="24"/>
        </w:rPr>
        <w:t xml:space="preserve"> micrograms per square foot on interior windowsills, and </w:t>
      </w:r>
      <w:r>
        <w:rPr>
          <w:rFonts w:ascii="Times New Roman" w:hAnsi="Times New Roman"/>
          <w:b w:val="false"/>
          <w:i w:val="false"/>
          <w:strike/>
          <w:color w:val="000000"/>
          <w:sz w:val="24"/>
        </w:rPr>
        <w:t>400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100</w:t>
      </w:r>
      <w:r>
        <w:rPr>
          <w:rFonts w:ascii="Times New Roman" w:hAnsi="Times New Roman"/>
          <w:b w:val="false"/>
          <w:i w:val="false"/>
          <w:color w:val="000000"/>
          <w:sz w:val="24"/>
        </w:rPr>
        <w:t xml:space="preserve">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heri.howard@dia.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